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ascii="方正小标宋简体" w:hAnsi="方正小标宋简体" w:eastAsia="方正小标宋简体"/>
          <w:color w:val="FF0000"/>
          <w:sz w:val="11"/>
          <w:szCs w:val="11"/>
        </w:rPr>
      </w:pPr>
    </w:p>
    <w:p>
      <w:pPr>
        <w:rPr>
          <w:rStyle w:val="10"/>
          <w:rFonts w:ascii="方正小标宋简体" w:hAnsi="方正小标宋简体" w:eastAsia="方正小标宋简体"/>
          <w:color w:val="FF0000"/>
          <w:sz w:val="11"/>
          <w:szCs w:val="11"/>
        </w:rPr>
      </w:pPr>
    </w:p>
    <w:p>
      <w:pPr>
        <w:rPr>
          <w:rStyle w:val="10"/>
          <w:rFonts w:ascii="方正小标宋简体" w:hAnsi="方正小标宋简体" w:eastAsia="方正小标宋简体"/>
          <w:color w:val="FF0000"/>
          <w:sz w:val="11"/>
          <w:szCs w:val="11"/>
        </w:rPr>
      </w:pPr>
    </w:p>
    <w:p>
      <w:pPr>
        <w:rPr>
          <w:rStyle w:val="10"/>
          <w:rFonts w:ascii="方正小标宋简体" w:hAnsi="方正小标宋简体" w:eastAsia="方正小标宋简体"/>
          <w:color w:val="FF0000"/>
          <w:sz w:val="11"/>
          <w:szCs w:val="11"/>
        </w:rPr>
      </w:pPr>
    </w:p>
    <w:p>
      <w:pPr>
        <w:rPr>
          <w:rStyle w:val="10"/>
          <w:rFonts w:ascii="方正小标宋简体" w:hAnsi="方正小标宋简体" w:eastAsia="方正小标宋简体"/>
          <w:color w:val="FF0000"/>
          <w:sz w:val="10"/>
          <w:szCs w:val="10"/>
        </w:rPr>
      </w:pPr>
    </w:p>
    <w:p>
      <w:pPr>
        <w:rPr>
          <w:rStyle w:val="10"/>
          <w:rFonts w:ascii="方正小标宋简体" w:hAnsi="方正小标宋简体" w:eastAsia="方正小标宋简体"/>
          <w:color w:val="FF0000"/>
          <w:sz w:val="10"/>
          <w:szCs w:val="10"/>
        </w:rPr>
      </w:pPr>
    </w:p>
    <w:p>
      <w:pPr>
        <w:rPr>
          <w:rStyle w:val="10"/>
          <w:rFonts w:ascii="方正小标宋简体" w:hAnsi="方正小标宋简体" w:eastAsia="方正小标宋简体"/>
          <w:color w:val="FF0000"/>
          <w:sz w:val="10"/>
          <w:szCs w:val="10"/>
        </w:rPr>
      </w:pPr>
    </w:p>
    <w:p>
      <w:pPr>
        <w:jc w:val="center"/>
        <w:rPr>
          <w:rStyle w:val="10"/>
          <w:rFonts w:ascii="方正小标宋简体" w:hAnsi="方正小标宋简体" w:eastAsia="方正小标宋简体" w:cs="方正小标宋简体"/>
          <w:b/>
          <w:bCs/>
          <w:color w:val="FF0000"/>
          <w:spacing w:val="-20"/>
          <w:w w:val="80"/>
          <w:sz w:val="84"/>
          <w:szCs w:val="84"/>
        </w:rPr>
      </w:pPr>
      <w:r>
        <w:rPr>
          <w:rStyle w:val="10"/>
          <w:rFonts w:ascii="方正小标宋简体" w:hAnsi="方正小标宋简体" w:eastAsia="方正小标宋简体" w:cs="方正小标宋简体"/>
          <w:b/>
          <w:bCs/>
          <w:color w:val="FF0000"/>
          <w:spacing w:val="-20"/>
          <w:w w:val="78"/>
          <w:sz w:val="84"/>
          <w:szCs w:val="84"/>
        </w:rPr>
        <w:t>辽宁省春运领导小组办公室文件</w:t>
      </w:r>
    </w:p>
    <w:p>
      <w:pPr>
        <w:rPr>
          <w:rStyle w:val="10"/>
          <w:rFonts w:ascii="方正小标宋简体" w:hAnsi="方正小标宋简体" w:eastAsia="方正小标宋简体"/>
          <w:color w:val="FF0000"/>
          <w:sz w:val="11"/>
          <w:szCs w:val="11"/>
        </w:rPr>
      </w:pPr>
    </w:p>
    <w:p>
      <w:pPr>
        <w:rPr>
          <w:rStyle w:val="10"/>
          <w:rFonts w:hint="default" w:ascii="Times New Roman" w:hAnsi="Times New Roman" w:eastAsia="方正小标宋简体" w:cs="Times New Roman"/>
          <w:color w:val="FF0000"/>
          <w:sz w:val="11"/>
          <w:szCs w:val="11"/>
        </w:rPr>
      </w:pPr>
    </w:p>
    <w:p>
      <w:pPr>
        <w:jc w:val="center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辽春组办发〔202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jc w:val="center"/>
        <w:rPr>
          <w:rStyle w:val="10"/>
          <w:rFonts w:hint="default" w:ascii="Times New Roman" w:hAnsi="Times New Roman" w:cs="Times New Roman"/>
          <w:sz w:val="32"/>
        </w:rPr>
      </w:pPr>
      <w:r>
        <w:rPr>
          <w:rStyle w:val="10"/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184150</wp:posOffset>
                </wp:positionV>
                <wp:extent cx="6190615" cy="23495"/>
                <wp:effectExtent l="0" t="7620" r="635" b="2603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0615" cy="234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8.75pt;margin-top:14.5pt;height:1.85pt;width:487.45pt;z-index:251659264;mso-width-relative:page;mso-height-relative:page;" filled="f" stroked="t" coordsize="21600,21600" o:gfxdata="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RYMetgAAAAJAQAADwAAAAAAAAABACAAAAAiAAAAZHJzL2Rvd25yZXYueG1sUEsB&#10;AhQAFAAAAAgAh07iQD3asoX1AQAA6gMAAA4AAAAAAAAAAQAgAAAAJwEAAGRycy9lMm9Eb2MueG1s&#10;UEsFBgAAAAAGAAYAWQEAAI4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jc w:val="center"/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760" w:lineRule="exact"/>
        <w:jc w:val="center"/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</w:rPr>
        <w:t>辽宁省春运领导小组办公室关于</w:t>
      </w:r>
      <w:r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组织做好</w:t>
      </w:r>
    </w:p>
    <w:p>
      <w:pPr>
        <w:spacing w:line="760" w:lineRule="exact"/>
        <w:jc w:val="center"/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春运检查工作</w:t>
      </w:r>
      <w:r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</w:rPr>
        <w:t>的通知</w:t>
      </w:r>
    </w:p>
    <w:p>
      <w:pPr>
        <w:spacing w:line="760" w:lineRule="exact"/>
        <w:jc w:val="center"/>
        <w:rPr>
          <w:rStyle w:val="10"/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各市春运办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省春运领导小组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" w:cs="Times New Roman"/>
          <w:sz w:val="32"/>
          <w:szCs w:val="32"/>
        </w:rPr>
        <w:t>成员单位：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切实做好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春运工作，确保全省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春运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期间疫情防控、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安全生产和服务保障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措施落实到位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省春运领导小组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2023年春运工作方案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部署要求，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就做好春运检查工作要求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目标任务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以习近平新时代中国特色社会主义思想为指导，全面贯彻落实党的二十大精神，坚持以人民为中心思想，</w:t>
      </w:r>
      <w:r>
        <w:rPr>
          <w:rFonts w:ascii="Times New Roman" w:hAnsi="Times New Roman" w:eastAsia="仿宋_GB2312" w:cs="Times New Roman"/>
          <w:sz w:val="32"/>
          <w:szCs w:val="32"/>
        </w:rPr>
        <w:t>增强做好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2023年</w:t>
      </w:r>
      <w:r>
        <w:rPr>
          <w:rFonts w:ascii="Times New Roman" w:hAnsi="Times New Roman" w:eastAsia="仿宋_GB2312" w:cs="Times New Roman"/>
          <w:sz w:val="32"/>
          <w:szCs w:val="32"/>
        </w:rPr>
        <w:t>春运工作的使命感和责任感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采取综合督导、专项检查、企业自查、协同治理相结合方式，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层层传导压力，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查隐患、找问题、防风险、促整改、遏事故，有效落实属地监管责任和企业主体责任，有力有序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保障人民群众安全便捷出行和重点生产生活物资运输顺畅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努力做到</w:t>
      </w:r>
      <w:r>
        <w:rPr>
          <w:rFonts w:ascii="Times New Roman" w:hAnsi="Times New Roman" w:eastAsia="仿宋_GB2312" w:cs="Times New Roman"/>
          <w:sz w:val="32"/>
          <w:szCs w:val="32"/>
        </w:rPr>
        <w:t>“五个确保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两个不发生”，</w:t>
      </w:r>
      <w:r>
        <w:rPr>
          <w:rFonts w:ascii="Times New Roman" w:hAnsi="Times New Roman" w:eastAsia="仿宋_GB2312" w:cs="Times New Roman"/>
          <w:sz w:val="32"/>
          <w:szCs w:val="32"/>
        </w:rPr>
        <w:t>即确保运输组织有力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运力充足有效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运行畅通安全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服务优质规范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疫情防控到位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不发生重特大生产安全责任事故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不发生重大服务质量事件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春运检查工作主要包括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企业自查、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属地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、行业督查、政府综合督导等。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1.企业自查。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各地要组织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辖区内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参加春运的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交通运输企业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立即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开展全方位、全过程的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疫情防控和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安全生产自检自查自纠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。要针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每个环节、每个岗位、每项安全措施落实等情况，开展全面检查，及时发现不安全因素和事故隐患，认真落实各项防范措施和规章制度，对排查出的隐患要立即落实整改方案，做到措施、资金、时限、责任人、预案“五落实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1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属地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查。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各地要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建立层级督查检查机制，市级督查要覆盖各县（区），以及辖区春运重点单位；县（区）级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要进一步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建立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</w:rPr>
        <w:t>健全网格化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</w:rPr>
        <w:t>制度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要覆盖辖区所有参加春运的交通运输生产经营单位，指导督促其落实相关工作要求。各地要将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自检自查工作贯穿春运全过程，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做到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真检真查、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发现问题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立行立改、务求实效。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2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.行业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督查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省春运领导小组各成员单位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根据工作职责和任务分工，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视疫情防控实际情况，适时组织开展专项检查，或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通过采取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视频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听取汇报、座谈交流、书面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（电话）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调度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，以及综合运用大数据分析、视频监控等技术手段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指导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督促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本系统、本行业开展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春运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1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政府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综合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督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导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各地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春运领导小组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领导带队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抽调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成员单位骨干力量组成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综合督查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视疫情防控实际情况，通过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听取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等方式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适时对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春运疫情防控、安全生产和服务保障工作进行督导检查。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督查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  <w:t>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1.春运组织情况。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重点督导检查政府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春运办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和交通运输、公安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、卫健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等重点部门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春运方案制定、组织机构建立、工作会议部署等情况；道路、铁路、民航、水路等部门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疫情防控、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运力保障和综合运输方式衔接保障、重点物资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运输等相关工作落实及经费保障等落实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3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疫情防控情况。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贯彻党中央、国务院关于新冠病毒疫情防控工作决策部署，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落实疫情防控优化措施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“乙类乙管”各项措施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春运新型冠状病毒感染疫情防控指南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情况；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铁路、公路、水路、民航、邮政快递领域疫情防控政策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实施情况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从业人员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佩戴口罩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、疫苗接种和健康监测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客运站、公路服务区等窗口单位公共区域的清洁消毒、通风换气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情况等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安全生产情况。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聚焦“春运安全生产”核心任务，重点督导检查从业人员安全培训教育，以及对运输线路、场站设施、运输设备等重点领域安全风险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管控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和事故隐患排查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治理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情况；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冬季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安全生产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保障措施落实情况；公路车辆超限超载治理情况；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汽车客运站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“三不进站、六不出站”规定落实及周边秩序整治情况；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道路客运专项整治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以及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“三超一疲劳”、违法载人等交通违法行为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治理情况；涉客船舶安全管理、危货港口作业安全管理及港口客运安检查危情况等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服务保障情况。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聚焦“春运服务保障”核心任务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，重点督导检查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等重点环节服务举措，着力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车站、机场、港口等客运枢纽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旅客侯乘环境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优化运输衔接等情况；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落实老年人群体在智能化条件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下的出行服务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军人、消防救援人员及随行家属提供优先优待服务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重点领域开展便民活动以及志愿服务等情况；畅通路网通行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重点物资运输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情况等；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道路、水路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铁路、民航等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经营主体和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乘客失信行为惩戒落实情况等。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1.切实提高政治站位。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各地区、各部门要深刻认识今年春运工作的特殊性，对今年春运安全风险交织叠加和疫情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防控面临的新形势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要予以高度重视，时刻绷紧做好疫情防控和安全生产这根弦，始终保持高压严管态势，强化责任落实、督查检查和跟踪督办，抓紧抓实抓细各项工作要求落实；对工作开展不力、责任落实不到位的，要严肃追责问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3" w:firstLineChars="200"/>
        <w:textAlignment w:val="baseline"/>
        <w:rPr>
          <w:rFonts w:hint="default" w:ascii="Times New Roman" w:hAnsi="Times New Roman" w:eastAsia="仿宋_GB2312" w:cs="Times New Roman"/>
          <w:bCs/>
          <w:color w:val="FF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狠抓隐患排查整治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地区、各部门应结合疫情防控有关要求，视需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采取“四不两直”“双随机”“明查暗访”等方式，深入基层、深入一线，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对重点地区、重点企业、重点交通工具和重点从业人员进行检查，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对督查中发现的问题和隐患，要督促有关单位立即进行整改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切实消除隐患；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对不能立即整改到位的，要落实整改责任和时限要求，督促其制定整改方案，落实保障措施，确保隐患整改治理到位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严肃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督查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纪律。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地区、各部门要严格执行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中央八项规定精神和省委实施细则，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切实减轻基层迎检负担，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轻车简从，减少陪同，坚决杜绝各类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“走过场”“做虚功”等形式主义、官僚主义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，务求实效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。同时，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要严格执行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疫情防控有关规定和要求，做好督导检查人员的自身疫情防护工作。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1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.及时报送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bidi="ar-SA"/>
        </w:rPr>
        <w:t>信息。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地区、各部门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要切实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信息报送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各市春运办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省春运领导小组成员单位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于1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日前将春运督导检查方案、拟定的春运督导检查工作安排报省春运办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；1月20日前报送春运检查阶段性进展情况；2月6日前报送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导检查工作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总结。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刘钢、陈晓彤。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/>
          <w:sz w:val="32"/>
          <w:szCs w:val="32"/>
        </w:rPr>
        <w:t>yszx2021</w:t>
      </w:r>
      <w:r>
        <w:rPr>
          <w:rFonts w:ascii="Times New Roman" w:hAnsi="Times New Roman" w:eastAsia="仿宋_GB2312"/>
          <w:sz w:val="32"/>
          <w:szCs w:val="32"/>
        </w:rPr>
        <w:t>@1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.com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联系电话：024-8321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1502、</w:t>
      </w:r>
      <w:r>
        <w:rPr>
          <w:rFonts w:ascii="Times New Roman" w:hAnsi="Times New Roman" w:eastAsia="仿宋_GB2312"/>
          <w:sz w:val="32"/>
          <w:szCs w:val="32"/>
        </w:rPr>
        <w:t>024-8321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1811（传）。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jc w:val="both"/>
        <w:textAlignment w:val="baseline"/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附件：春运检查情况统计表  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wordWrap/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640" w:firstLineChars="200"/>
        <w:jc w:val="center"/>
        <w:textAlignment w:val="baseline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 xml:space="preserve">辽宁省春运领导小组办公室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4160" w:firstLineChars="1300"/>
        <w:textAlignment w:val="baseline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587" w:bottom="1871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6" w:line="520" w:lineRule="exact"/>
        <w:jc w:val="left"/>
        <w:textAlignment w:val="baseline"/>
        <w:rPr>
          <w:rFonts w:hint="default" w:ascii="黑体" w:hAnsi="黑体" w:eastAsia="黑体" w:cs="黑体"/>
          <w:spacing w:val="1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16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6" w:line="520" w:lineRule="exact"/>
        <w:jc w:val="center"/>
        <w:textAlignment w:val="baseline"/>
        <w:rPr>
          <w:rFonts w:ascii="黑体" w:hAnsi="黑体" w:eastAsia="黑体" w:cs="黑体"/>
          <w:spacing w:val="16"/>
          <w:sz w:val="44"/>
          <w:szCs w:val="44"/>
        </w:rPr>
      </w:pPr>
      <w:r>
        <w:rPr>
          <w:rFonts w:hint="eastAsia" w:ascii="黑体" w:hAnsi="黑体" w:eastAsia="黑体" w:cs="黑体"/>
          <w:spacing w:val="16"/>
          <w:sz w:val="44"/>
          <w:szCs w:val="44"/>
          <w:lang w:val="en-US" w:eastAsia="zh-CN"/>
        </w:rPr>
        <w:t>春运检查情况统计</w:t>
      </w:r>
      <w:r>
        <w:rPr>
          <w:rFonts w:ascii="黑体" w:hAnsi="黑体" w:eastAsia="黑体" w:cs="黑体"/>
          <w:spacing w:val="16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0" w:leftChars="0" w:firstLine="0" w:firstLineChars="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XX市春运办：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（加盖公章）</w:t>
      </w:r>
    </w:p>
    <w:tbl>
      <w:tblPr>
        <w:tblStyle w:val="8"/>
        <w:tblW w:w="5367" w:type="pct"/>
        <w:tblInd w:w="-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07"/>
        <w:gridCol w:w="739"/>
        <w:gridCol w:w="763"/>
        <w:gridCol w:w="846"/>
        <w:gridCol w:w="750"/>
        <w:gridCol w:w="750"/>
        <w:gridCol w:w="777"/>
        <w:gridCol w:w="846"/>
        <w:gridCol w:w="1050"/>
        <w:gridCol w:w="941"/>
        <w:gridCol w:w="981"/>
        <w:gridCol w:w="941"/>
        <w:gridCol w:w="1023"/>
        <w:gridCol w:w="106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106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检查总体情况</w:t>
            </w:r>
          </w:p>
        </w:tc>
        <w:tc>
          <w:tcPr>
            <w:tcW w:w="109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隐患排查治理情况</w:t>
            </w:r>
          </w:p>
        </w:tc>
        <w:tc>
          <w:tcPr>
            <w:tcW w:w="2519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执法处罚情况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9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出动执法人数</w:t>
            </w:r>
          </w:p>
        </w:tc>
        <w:tc>
          <w:tcPr>
            <w:tcW w:w="258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检查企业数量</w:t>
            </w:r>
          </w:p>
        </w:tc>
        <w:tc>
          <w:tcPr>
            <w:tcW w:w="26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检查交通工具数量</w:t>
            </w:r>
          </w:p>
        </w:tc>
        <w:tc>
          <w:tcPr>
            <w:tcW w:w="29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检查从业人员数量</w:t>
            </w:r>
          </w:p>
        </w:tc>
        <w:tc>
          <w:tcPr>
            <w:tcW w:w="524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一般隐患</w:t>
            </w:r>
          </w:p>
        </w:tc>
        <w:tc>
          <w:tcPr>
            <w:tcW w:w="56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重大隐患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打击违法违规行为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（起）</w:t>
            </w:r>
          </w:p>
        </w:tc>
        <w:tc>
          <w:tcPr>
            <w:tcW w:w="329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罚款  （万）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3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暂扣吊销证照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329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停产停业整顿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35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关闭取缔企业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372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追究刑事责任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联合惩戒失信企业（家）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5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隐患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6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整改数量</w:t>
            </w:r>
          </w:p>
        </w:tc>
        <w:tc>
          <w:tcPr>
            <w:tcW w:w="271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隐患数量</w:t>
            </w:r>
          </w:p>
        </w:tc>
        <w:tc>
          <w:tcPr>
            <w:tcW w:w="29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6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9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2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道路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水路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铁路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民航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587" w:right="1871" w:bottom="1587" w:left="187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Bdr>
          <w:top w:val="single" w:color="000000" w:sz="12" w:space="1"/>
          <w:left w:val="none" w:color="000000" w:sz="0" w:space="4"/>
          <w:bottom w:val="single" w:color="000000" w:sz="12" w:space="1"/>
          <w:right w:val="none" w:color="000000" w:sz="0" w:space="4"/>
        </w:pBdr>
        <w:ind w:firstLine="252" w:firstLineChars="100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Style w:val="10"/>
          <w:rFonts w:hint="eastAsia" w:ascii="Times New Roman" w:hAnsi="Times New Roman" w:eastAsia="仿宋_GB2312" w:cs="Times New Roman"/>
          <w:w w:val="90"/>
          <w:sz w:val="28"/>
          <w:szCs w:val="28"/>
          <w:lang w:val="en-US"/>
        </w:rPr>
        <w:t xml:space="preserve">     </w:t>
      </w:r>
      <w:r>
        <w:rPr>
          <w:rStyle w:val="10"/>
          <w:rFonts w:hint="default" w:ascii="Times New Roman" w:hAnsi="Times New Roman" w:eastAsia="仿宋_GB2312" w:cs="Times New Roman"/>
          <w:w w:val="90"/>
          <w:sz w:val="28"/>
          <w:szCs w:val="28"/>
        </w:rPr>
        <w:t>辽宁省春运领导小组办公室</w:t>
      </w:r>
      <w:r>
        <w:rPr>
          <w:rStyle w:val="10"/>
          <w:rFonts w:hint="default" w:ascii="Times New Roman" w:hAnsi="Times New Roman" w:eastAsia="仿宋_GB2312" w:cs="Times New Roman"/>
          <w:sz w:val="28"/>
          <w:szCs w:val="28"/>
        </w:rPr>
        <w:t>　　　           202</w:t>
      </w:r>
      <w:r>
        <w:rPr>
          <w:rStyle w:val="10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Style w:val="10"/>
          <w:rFonts w:hint="default" w:ascii="Times New Roman" w:hAnsi="Times New Roman" w:eastAsia="仿宋_GB2312" w:cs="Times New Roman"/>
          <w:sz w:val="28"/>
          <w:szCs w:val="28"/>
        </w:rPr>
        <w:t>年1</w:t>
      </w:r>
      <w:r>
        <w:rPr>
          <w:rStyle w:val="10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Style w:val="10"/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Style w:val="10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Style w:val="10"/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871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wjeckBAACZ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jr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IzCN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z-index:251659264;mso-width-relative:page;mso-height-relative:page;" filled="f" stroked="f" coordsize="21600,21600" o:gfxdata="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Mp7Z0wAAAAMBAAAPAAAAAAAAAAEAIAAAACIAAABkcnMvZG93bnJldi54bWxQ&#10;SwECFAAUAAAACACHTuJAzyOM4cMBAAB7AwAADgAAAAAAAAABACAAAAAiAQAAZHJzL2Uyb0RvYy54&#10;bWxQSwUGAAAAAAYABgBZAQAAV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2YwMTM5MjEzMDcyM2RmN2EzYmQ2ODlmNjljZmMifQ=="/>
  </w:docVars>
  <w:rsids>
    <w:rsidRoot w:val="00E74449"/>
    <w:rsid w:val="001B509B"/>
    <w:rsid w:val="005F09AF"/>
    <w:rsid w:val="00682AF8"/>
    <w:rsid w:val="008D6DA5"/>
    <w:rsid w:val="00907A1E"/>
    <w:rsid w:val="0098144B"/>
    <w:rsid w:val="00D76030"/>
    <w:rsid w:val="00E74449"/>
    <w:rsid w:val="00FC5121"/>
    <w:rsid w:val="01593CF9"/>
    <w:rsid w:val="02533F0F"/>
    <w:rsid w:val="0347281B"/>
    <w:rsid w:val="045959E4"/>
    <w:rsid w:val="05FA18F9"/>
    <w:rsid w:val="07E51E85"/>
    <w:rsid w:val="0933661D"/>
    <w:rsid w:val="0C3415FE"/>
    <w:rsid w:val="133D05E8"/>
    <w:rsid w:val="16D82003"/>
    <w:rsid w:val="16F11027"/>
    <w:rsid w:val="1CB203E4"/>
    <w:rsid w:val="1EFB297B"/>
    <w:rsid w:val="24596E30"/>
    <w:rsid w:val="25523DE2"/>
    <w:rsid w:val="270B7DF5"/>
    <w:rsid w:val="2A6A42FF"/>
    <w:rsid w:val="2AEA11EC"/>
    <w:rsid w:val="2D5C779F"/>
    <w:rsid w:val="2F16278E"/>
    <w:rsid w:val="3093093F"/>
    <w:rsid w:val="36115870"/>
    <w:rsid w:val="394418E0"/>
    <w:rsid w:val="3FC43830"/>
    <w:rsid w:val="41EA485E"/>
    <w:rsid w:val="41FC3A6D"/>
    <w:rsid w:val="49B15C59"/>
    <w:rsid w:val="51361EA5"/>
    <w:rsid w:val="52A87EF5"/>
    <w:rsid w:val="52B42402"/>
    <w:rsid w:val="543E3E6D"/>
    <w:rsid w:val="55CE2806"/>
    <w:rsid w:val="5B27151D"/>
    <w:rsid w:val="5D981469"/>
    <w:rsid w:val="60C07761"/>
    <w:rsid w:val="64553DB6"/>
    <w:rsid w:val="647005C7"/>
    <w:rsid w:val="689773CF"/>
    <w:rsid w:val="6AC36B8F"/>
    <w:rsid w:val="6B557797"/>
    <w:rsid w:val="6E0032C4"/>
    <w:rsid w:val="6F806732"/>
    <w:rsid w:val="702948B7"/>
    <w:rsid w:val="71F3231B"/>
    <w:rsid w:val="73C0129F"/>
    <w:rsid w:val="7A2422D2"/>
    <w:rsid w:val="7A77136C"/>
    <w:rsid w:val="7FB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line="400" w:lineRule="exact"/>
      <w:outlineLvl w:val="1"/>
    </w:pPr>
    <w:rPr>
      <w:rFonts w:ascii="仿宋_GB2312" w:hAnsi="宋体"/>
      <w:kern w:val="0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semiHidden/>
    <w:qFormat/>
    <w:uiPriority w:val="0"/>
    <w:rPr>
      <w:sz w:val="18"/>
      <w:szCs w:val="18"/>
    </w:rPr>
  </w:style>
  <w:style w:type="table" w:customStyle="1" w:styleId="13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日期 Char"/>
    <w:basedOn w:val="9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2409</Words>
  <Characters>2501</Characters>
  <Lines>5</Lines>
  <Paragraphs>1</Paragraphs>
  <TotalTime>6</TotalTime>
  <ScaleCrop>false</ScaleCrop>
  <LinksUpToDate>false</LinksUpToDate>
  <CharactersWithSpaces>2533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2021-01-13T23:59:00Z</dcterms:created>
  <dc:creator>mi</dc:creator>
  <cp:lastModifiedBy>恍恍惚惚</cp:lastModifiedBy>
  <cp:lastPrinted>2021-01-14T01:13:00Z</cp:lastPrinted>
  <dcterms:modified xsi:type="dcterms:W3CDTF">2022-12-30T01:53:13Z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57216DF2F12D4E15B5D6857F3AA57318</vt:lpwstr>
  </property>
</Properties>
</file>